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4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9"/>
        <w:gridCol w:w="1024"/>
        <w:gridCol w:w="978"/>
        <w:gridCol w:w="941"/>
        <w:gridCol w:w="999"/>
        <w:gridCol w:w="2068"/>
        <w:gridCol w:w="2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14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1" w:firstLineChars="10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湘雅常德医院2017年度考核各科室优秀等次指标</w:t>
            </w: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试用期人数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可参与评优总人数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   （15%）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湘雅本部考核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行政后勤</w:t>
            </w:r>
          </w:p>
        </w:tc>
        <w:tc>
          <w:tcPr>
            <w:tcW w:w="20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院领导</w:t>
            </w:r>
          </w:p>
        </w:tc>
        <w:tc>
          <w:tcPr>
            <w:tcW w:w="10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1.95</w:t>
            </w:r>
          </w:p>
        </w:tc>
        <w:tc>
          <w:tcPr>
            <w:tcW w:w="206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  <w:tc>
          <w:tcPr>
            <w:tcW w:w="206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胡卫锋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事业发展部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医保办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欧树文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黄炯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1.05</w:t>
            </w:r>
          </w:p>
        </w:tc>
        <w:tc>
          <w:tcPr>
            <w:tcW w:w="206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鲁晓琴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临床医技科室</w:t>
            </w: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彭劲武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曹励之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超声影像科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4.95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放射介入科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胡康新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游运辉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成小苗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钟惠菊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顿金庚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袁贤瑞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耳鼻喉头颈外科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田湘娥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舒象武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206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何青春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中西结合科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1.95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蒋荣鑫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肖广发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1.65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谭利明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神经内科肌电图室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电生理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高压氧科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彭道地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肖幸华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静脉配置中心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整形美容外科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1.05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1.65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钟美佐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谢卫民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护理单元</w:t>
            </w: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1病区新生儿科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2病区妇科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左春香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产房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2病区产科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3病区儿科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范庆辉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5病区骨外科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7病区普通外科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9病区神经外科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10病区泌尿外科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潘冰鑫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10病区胸外科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代玲莉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11病区神经内科（含ICU）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施霞丽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12病区风湿免疫科、肾内科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李姗、肖丽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13病区眼、耳鼻喉科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14病区整形美容、烧伤、皮肤科、口腔外科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莫慧颖、习梅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15病区心内科（含CCU）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16病区内分泌科、中医科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17病区呼吸内科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1.65</w:t>
            </w:r>
          </w:p>
        </w:tc>
        <w:tc>
          <w:tcPr>
            <w:tcW w:w="206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18病区消化科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20病区肿瘤科、血液科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3.75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急诊科护理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儿科门急诊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门诊分诊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段小兰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血液净化中心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105.15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B44B0"/>
    <w:rsid w:val="0EE923A6"/>
    <w:rsid w:val="30480190"/>
    <w:rsid w:val="6FB81223"/>
    <w:rsid w:val="76FA2DC3"/>
    <w:rsid w:val="7A4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2018-01-03T03:54:00Z</dcterms:created>
  <dc:creator>寂小冉^</dc:creator>
  <cp:lastModifiedBy>寂小冉^</cp:lastModifiedBy>
  <cp:lastPrinted>2018-01-03T07:28:10Z</cp:lastPrinted>
  <dcterms:modified xsi:type="dcterms:W3CDTF">2018-01-03T08:23:55Z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